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37"/>
          <w:tab w:val="center" w:pos="4214"/>
        </w:tabs>
        <w:jc w:val="left"/>
        <w:rPr>
          <w:rFonts w:hint="eastAsia" w:ascii="仿宋_GB2312" w:eastAsia="仿宋_GB2312" w:cs="仿宋_GB2312"/>
          <w:b/>
          <w:bCs/>
          <w:sz w:val="44"/>
          <w:szCs w:val="44"/>
          <w:lang w:val="en-US" w:eastAsia="zh-CN"/>
        </w:rPr>
      </w:pPr>
      <w:r>
        <w:rPr>
          <w:rFonts w:hint="eastAsia" w:ascii="仿宋_GB2312" w:eastAsia="仿宋_GB2312" w:cs="仿宋_GB2312"/>
          <w:b/>
          <w:bCs/>
          <w:sz w:val="36"/>
          <w:szCs w:val="36"/>
          <w:lang w:val="en-US" w:eastAsia="zh-CN"/>
        </w:rPr>
        <w:tab/>
      </w:r>
      <w:r>
        <w:rPr>
          <w:rFonts w:hint="eastAsia" w:ascii="仿宋_GB2312" w:eastAsia="仿宋_GB2312" w:cs="仿宋_GB2312"/>
          <w:b/>
          <w:bCs/>
          <w:sz w:val="44"/>
          <w:szCs w:val="44"/>
          <w:lang w:val="en-US" w:eastAsia="zh-CN"/>
        </w:rPr>
        <w:tab/>
      </w:r>
      <w:r>
        <w:rPr>
          <w:rFonts w:hint="eastAsia" w:ascii="仿宋_GB2312" w:eastAsia="仿宋_GB2312" w:cs="仿宋_GB2312"/>
          <w:b/>
          <w:bCs/>
          <w:sz w:val="44"/>
          <w:szCs w:val="44"/>
          <w:lang w:val="en-US" w:eastAsia="zh-CN"/>
        </w:rPr>
        <w:t>地坪漆项目投标需知</w:t>
      </w:r>
    </w:p>
    <w:p>
      <w:pPr>
        <w:ind w:firstLine="2891" w:firstLineChars="900"/>
        <w:rPr>
          <w:rFonts w:hint="eastAsia" w:ascii="仿宋_GB2312" w:eastAsia="仿宋_GB2312" w:cs="仿宋_GB2312"/>
          <w:b/>
          <w:bCs/>
          <w:sz w:val="32"/>
          <w:szCs w:val="32"/>
          <w:lang w:val="en-US" w:eastAsia="zh-CN"/>
        </w:rPr>
      </w:pPr>
    </w:p>
    <w:p>
      <w:pPr>
        <w:ind w:firstLine="640" w:firstLineChars="200"/>
        <w:rPr>
          <w:rFonts w:hint="eastAsia" w:asciiTheme="minorEastAsia" w:hAnsiTheme="minorEastAsia" w:cstheme="minorEastAsia"/>
          <w:sz w:val="32"/>
          <w:szCs w:val="32"/>
          <w:lang w:eastAsia="zh-CN"/>
        </w:rPr>
      </w:pPr>
      <w:r>
        <w:rPr>
          <w:rFonts w:hint="eastAsia" w:asciiTheme="minorEastAsia" w:hAnsiTheme="minorEastAsia" w:eastAsiaTheme="minorEastAsia" w:cstheme="minorEastAsia"/>
          <w:sz w:val="32"/>
          <w:szCs w:val="32"/>
          <w:lang w:eastAsia="zh-CN"/>
        </w:rPr>
        <w:t>由于</w:t>
      </w:r>
      <w:r>
        <w:rPr>
          <w:rFonts w:hint="eastAsia" w:asciiTheme="minorEastAsia" w:hAnsiTheme="minorEastAsia" w:cstheme="minorEastAsia"/>
          <w:sz w:val="32"/>
          <w:szCs w:val="32"/>
          <w:lang w:eastAsia="zh-CN"/>
        </w:rPr>
        <w:t>我公司</w:t>
      </w:r>
      <w:r>
        <w:rPr>
          <w:rFonts w:hint="eastAsia" w:asciiTheme="minorEastAsia" w:hAnsiTheme="minorEastAsia" w:eastAsiaTheme="minorEastAsia" w:cstheme="minorEastAsia"/>
          <w:sz w:val="32"/>
          <w:szCs w:val="32"/>
          <w:lang w:eastAsia="zh-CN"/>
        </w:rPr>
        <w:t>工作</w:t>
      </w:r>
      <w:r>
        <w:rPr>
          <w:rFonts w:hint="eastAsia" w:asciiTheme="minorEastAsia" w:hAnsiTheme="minorEastAsia" w:cstheme="minorEastAsia"/>
          <w:sz w:val="32"/>
          <w:szCs w:val="32"/>
          <w:lang w:eastAsia="zh-CN"/>
        </w:rPr>
        <w:t>场所</w:t>
      </w:r>
      <w:r>
        <w:rPr>
          <w:rFonts w:hint="eastAsia" w:asciiTheme="minorEastAsia" w:hAnsiTheme="minorEastAsia" w:eastAsiaTheme="minorEastAsia" w:cstheme="minorEastAsia"/>
          <w:sz w:val="32"/>
          <w:szCs w:val="32"/>
          <w:lang w:eastAsia="zh-CN"/>
        </w:rPr>
        <w:t>的特殊性，中标人应严格遵守</w:t>
      </w:r>
      <w:r>
        <w:rPr>
          <w:rFonts w:hint="eastAsia" w:asciiTheme="minorEastAsia" w:hAnsiTheme="minorEastAsia" w:cstheme="minorEastAsia"/>
          <w:sz w:val="32"/>
          <w:szCs w:val="32"/>
          <w:lang w:eastAsia="zh-CN"/>
        </w:rPr>
        <w:t>我公司</w:t>
      </w:r>
      <w:r>
        <w:rPr>
          <w:rFonts w:hint="eastAsia" w:asciiTheme="minorEastAsia" w:hAnsiTheme="minorEastAsia" w:eastAsiaTheme="minorEastAsia" w:cstheme="minorEastAsia"/>
          <w:sz w:val="32"/>
          <w:szCs w:val="32"/>
          <w:lang w:eastAsia="zh-CN"/>
        </w:rPr>
        <w:t>的相关</w:t>
      </w:r>
      <w:r>
        <w:rPr>
          <w:rFonts w:hint="eastAsia" w:asciiTheme="minorEastAsia" w:hAnsiTheme="minorEastAsia" w:cstheme="minorEastAsia"/>
          <w:sz w:val="32"/>
          <w:szCs w:val="32"/>
          <w:lang w:eastAsia="zh-CN"/>
        </w:rPr>
        <w:t>防疫要求和管理</w:t>
      </w:r>
      <w:r>
        <w:rPr>
          <w:rFonts w:hint="eastAsia" w:asciiTheme="minorEastAsia" w:hAnsiTheme="minorEastAsia" w:eastAsiaTheme="minorEastAsia" w:cstheme="minorEastAsia"/>
          <w:sz w:val="32"/>
          <w:szCs w:val="32"/>
          <w:lang w:eastAsia="zh-CN"/>
        </w:rPr>
        <w:t>规定</w:t>
      </w:r>
      <w:r>
        <w:rPr>
          <w:rFonts w:hint="eastAsia" w:asciiTheme="minorEastAsia" w:hAnsiTheme="minorEastAsia" w:cstheme="minorEastAsia"/>
          <w:sz w:val="32"/>
          <w:szCs w:val="32"/>
          <w:lang w:eastAsia="zh-CN"/>
        </w:rPr>
        <w:t>。</w:t>
      </w:r>
    </w:p>
    <w:p>
      <w:pPr>
        <w:ind w:firstLine="640" w:firstLineChars="200"/>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一、投标方必须具备建筑地坪</w:t>
      </w:r>
      <w:bookmarkStart w:id="0" w:name="_GoBack"/>
      <w:bookmarkEnd w:id="0"/>
      <w:r>
        <w:rPr>
          <w:rFonts w:hint="eastAsia" w:asciiTheme="minorEastAsia" w:hAnsiTheme="minorEastAsia" w:cstheme="minorEastAsia"/>
          <w:sz w:val="32"/>
          <w:szCs w:val="32"/>
          <w:lang w:eastAsia="zh-CN"/>
        </w:rPr>
        <w:t>施工资质，投标时提供相关资质的复印件</w:t>
      </w:r>
      <w:r>
        <w:rPr>
          <w:rFonts w:hint="eastAsia" w:asciiTheme="minorEastAsia" w:hAnsiTheme="minorEastAsia" w:cstheme="minorEastAsia"/>
          <w:sz w:val="32"/>
          <w:szCs w:val="32"/>
          <w:lang w:val="en-US" w:eastAsia="zh-CN"/>
        </w:rPr>
        <w:t>,并加盖投标公司公章</w:t>
      </w:r>
      <w:r>
        <w:rPr>
          <w:rFonts w:hint="eastAsia" w:asciiTheme="minorEastAsia" w:hAnsiTheme="minorEastAsia" w:cstheme="minorEastAsia"/>
          <w:sz w:val="32"/>
          <w:szCs w:val="32"/>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9" w:leftChars="152" w:right="0" w:firstLine="451" w:firstLineChars="141"/>
        <w:jc w:val="left"/>
        <w:textAlignment w:val="auto"/>
        <w:rPr>
          <w:rFonts w:hint="eastAsia" w:asciiTheme="minorEastAsia" w:hAnsiTheme="minorEastAsia" w:eastAsiaTheme="minorEastAsia" w:cstheme="minorEastAsia"/>
          <w:color w:val="auto"/>
          <w:kern w:val="2"/>
          <w:sz w:val="32"/>
          <w:szCs w:val="32"/>
          <w:u w:val="none"/>
          <w:lang w:val="en-US" w:eastAsia="zh-CN" w:bidi="ar-SA"/>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color w:val="auto"/>
          <w:kern w:val="2"/>
          <w:sz w:val="32"/>
          <w:szCs w:val="32"/>
          <w:u w:val="none"/>
          <w:lang w:val="en-US" w:eastAsia="zh-CN" w:bidi="ar-SA"/>
        </w:rPr>
        <w:t>施工人员必须注意施工安全，采取严格科学的安全措施，确保施工安全和第三者的安全，如因措施不当造成人身安全或工伤死亡事故，一切责任由中标人负责。</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9" w:leftChars="152" w:right="0" w:firstLine="451" w:firstLineChars="141"/>
        <w:jc w:val="left"/>
        <w:textAlignment w:val="auto"/>
        <w:rPr>
          <w:rFonts w:hint="eastAsia" w:asciiTheme="minorEastAsia" w:hAnsiTheme="minorEastAsia" w:eastAsiaTheme="minorEastAsia" w:cstheme="minorEastAsia"/>
          <w:color w:val="auto"/>
          <w:kern w:val="2"/>
          <w:sz w:val="32"/>
          <w:szCs w:val="32"/>
          <w:u w:val="non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三、进入施工人员</w:t>
      </w:r>
      <w:r>
        <w:rPr>
          <w:rFonts w:hint="eastAsia" w:asciiTheme="minorEastAsia" w:hAnsiTheme="minorEastAsia" w:eastAsiaTheme="minorEastAsia" w:cstheme="minorEastAsia"/>
          <w:sz w:val="32"/>
          <w:szCs w:val="32"/>
          <w:lang w:val="en-US" w:eastAsia="zh-CN"/>
        </w:rPr>
        <w:t>需要</w:t>
      </w:r>
      <w:r>
        <w:rPr>
          <w:rFonts w:hint="eastAsia" w:asciiTheme="minorEastAsia" w:hAnsiTheme="minorEastAsia" w:eastAsiaTheme="minorEastAsia" w:cstheme="minorEastAsia"/>
          <w:sz w:val="32"/>
          <w:szCs w:val="32"/>
          <w:u w:val="none"/>
          <w:lang w:val="en-US" w:eastAsia="zh-CN"/>
        </w:rPr>
        <w:t>接种三剂新冠疫苗</w:t>
      </w:r>
      <w:r>
        <w:rPr>
          <w:rFonts w:hint="eastAsia" w:asciiTheme="minorEastAsia" w:hAnsiTheme="minorEastAsia" w:eastAsiaTheme="minorEastAsia" w:cstheme="minorEastAsia"/>
          <w:sz w:val="32"/>
          <w:szCs w:val="32"/>
          <w:lang w:val="en-US" w:eastAsia="zh-CN"/>
        </w:rPr>
        <w:t>，查验健康码、行程码、流感筛查，</w:t>
      </w:r>
      <w:r>
        <w:rPr>
          <w:rFonts w:hint="eastAsia" w:asciiTheme="minorEastAsia" w:hAnsiTheme="minorEastAsia" w:eastAsiaTheme="minorEastAsia" w:cstheme="minorEastAsia"/>
          <w:color w:val="auto"/>
          <w:kern w:val="2"/>
          <w:sz w:val="32"/>
          <w:szCs w:val="32"/>
          <w:u w:val="none"/>
          <w:lang w:val="en-US" w:eastAsia="zh-CN" w:bidi="ar-SA"/>
        </w:rPr>
        <w:t>须未到过中高风险地区且无涉疫风险（包括其同居住人员），并主动报告行程轨迹和接触史，不得隐瞒涉疫风险情况，若发生涉疫风险，造成后果由中标方承担。</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319" w:leftChars="152" w:right="0" w:firstLine="451" w:firstLineChars="141"/>
        <w:jc w:val="left"/>
        <w:textAlignment w:val="auto"/>
        <w:rPr>
          <w:rFonts w:hint="eastAsia" w:asciiTheme="minorEastAsia" w:hAnsiTheme="minorEastAsia" w:eastAsiaTheme="minorEastAsia" w:cstheme="minorEastAsia"/>
          <w:color w:val="auto"/>
          <w:kern w:val="2"/>
          <w:sz w:val="32"/>
          <w:szCs w:val="32"/>
          <w:u w:val="non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四、进入监管区施工的人员按我公司的防疫需要，要在我公司隔离区全封闭隔离不少于7天后方进入监管区全封闭隔离施工（封闭期间施工人员一切费用由中标方承担）。施工人员在施工期间不准携带任何电子设备进入施工区域，中标方在施工期间应无条件服从我公司的特殊场所管理规定和防疫防控规定，违反特殊场所管理规定和防疫防控规定造成严重后果的，我公司将立即解除合同，由此造成的损失由中标方承担。</w:t>
      </w:r>
    </w:p>
    <w:p>
      <w:pPr>
        <w:ind w:left="320" w:hanging="320" w:hangingChars="1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五、由于生产需要，我公司无法歇业施工，且四栋（其中三栋三层楼、一栋一层楼）拟施工地坪漆楼面只能分开施工，即完工一栋马上施工另一栋，每栋施工时间为两天三夜，存在24小时连续不间断施工的情况。</w:t>
      </w:r>
    </w:p>
    <w:p>
      <w:pPr>
        <w:ind w:firstLine="64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六、施工标准应严格遵守我公司一、六、七、八分厂车间刷地坪漆工程招标工程量清单要求，施工标准的验收由我公司和中标方共同进行，达不到施工标准的，我公司有权要求返工，直至符合施工标准为止，并且造成延期完工的损失由中标方承担。  </w:t>
      </w:r>
    </w:p>
    <w:p>
      <w:pPr>
        <w:ind w:firstLine="64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七、开工令由我公司领导签发，若非我公司或不可抗力的原因，中标方不能在规定的合同期内完工的（含验收不合格返工致延期），按每逾期一天扣中标价的5%作为违约金，逾期超过10天的，我公司有权解除合同，造成我公司的损失由中标方承担。</w:t>
      </w:r>
    </w:p>
    <w:p>
      <w:pPr>
        <w:ind w:firstLine="640" w:firstLineChars="2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八、投标人向我公司投标视为同意以上事项，中标方如在中标后签约时提出异议，并导致不能签约，我公司将中标方列入集团公司的黑名单。</w:t>
      </w:r>
    </w:p>
    <w:p>
      <w:pPr>
        <w:tabs>
          <w:tab w:val="left" w:pos="2553"/>
        </w:tabs>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ab/>
      </w:r>
    </w:p>
    <w:p>
      <w:pPr>
        <w:rPr>
          <w:rFonts w:hint="eastAsia" w:asciiTheme="minorEastAsia" w:hAnsiTheme="minorEastAsia" w:cstheme="minorEastAsia"/>
          <w:sz w:val="32"/>
          <w:szCs w:val="32"/>
          <w:lang w:val="en-US" w:eastAsia="zh-CN"/>
        </w:rPr>
      </w:pPr>
    </w:p>
    <w:p>
      <w:pPr>
        <w:rPr>
          <w:rFonts w:hint="eastAsia" w:asciiTheme="minorEastAsia" w:hAnsiTheme="minorEastAsia" w:cstheme="minorEastAsia"/>
          <w:sz w:val="32"/>
          <w:szCs w:val="32"/>
          <w:lang w:val="en-US" w:eastAsia="zh-CN"/>
        </w:rPr>
      </w:pPr>
    </w:p>
    <w:p>
      <w:pPr>
        <w:ind w:firstLine="2880" w:firstLineChars="9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广裕集团韶关旭鑫实业有限责任公司           </w:t>
      </w:r>
    </w:p>
    <w:p>
      <w:pPr>
        <w:rPr>
          <w:rFonts w:hint="eastAsia"/>
          <w:sz w:val="32"/>
          <w:szCs w:val="32"/>
          <w:lang w:eastAsia="zh-CN"/>
        </w:rPr>
      </w:pPr>
      <w:r>
        <w:rPr>
          <w:rFonts w:hint="eastAsia" w:asciiTheme="minorEastAsia" w:hAnsiTheme="minorEastAsia" w:cstheme="minorEastAsia"/>
          <w:sz w:val="32"/>
          <w:szCs w:val="32"/>
          <w:lang w:val="en-US" w:eastAsia="zh-CN"/>
        </w:rPr>
        <w:t xml:space="preserve">                                2022年8月22日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auto"/>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MTdmZTRkZWJkMjlkMGE4ZjRkNThiNDg0ZTNjOWYifQ=="/>
  </w:docVars>
  <w:rsids>
    <w:rsidRoot w:val="00000000"/>
    <w:rsid w:val="00296B8A"/>
    <w:rsid w:val="021E35DF"/>
    <w:rsid w:val="04273E5A"/>
    <w:rsid w:val="043668AA"/>
    <w:rsid w:val="06AC57FF"/>
    <w:rsid w:val="08EE5BA5"/>
    <w:rsid w:val="09331DDA"/>
    <w:rsid w:val="0A001A85"/>
    <w:rsid w:val="0A7C416E"/>
    <w:rsid w:val="0C0C60C2"/>
    <w:rsid w:val="0C323A1F"/>
    <w:rsid w:val="0DB14827"/>
    <w:rsid w:val="0E59540B"/>
    <w:rsid w:val="0EAA07F2"/>
    <w:rsid w:val="11A76ACB"/>
    <w:rsid w:val="168107F9"/>
    <w:rsid w:val="18FE4787"/>
    <w:rsid w:val="1A666612"/>
    <w:rsid w:val="1C8725FF"/>
    <w:rsid w:val="1F013308"/>
    <w:rsid w:val="21CE02C5"/>
    <w:rsid w:val="228E20E2"/>
    <w:rsid w:val="22EB1F68"/>
    <w:rsid w:val="23C766AC"/>
    <w:rsid w:val="24DF519F"/>
    <w:rsid w:val="259132B3"/>
    <w:rsid w:val="260760B9"/>
    <w:rsid w:val="2B121457"/>
    <w:rsid w:val="2E915F59"/>
    <w:rsid w:val="2FE016E5"/>
    <w:rsid w:val="30DB76FA"/>
    <w:rsid w:val="31010B7C"/>
    <w:rsid w:val="32CE1112"/>
    <w:rsid w:val="33195F49"/>
    <w:rsid w:val="347702D9"/>
    <w:rsid w:val="34CA5E08"/>
    <w:rsid w:val="35946AAA"/>
    <w:rsid w:val="36054C15"/>
    <w:rsid w:val="3923470E"/>
    <w:rsid w:val="3AEA6B92"/>
    <w:rsid w:val="3DF229A1"/>
    <w:rsid w:val="3EA6624B"/>
    <w:rsid w:val="3F94141A"/>
    <w:rsid w:val="4130023D"/>
    <w:rsid w:val="42F92FC1"/>
    <w:rsid w:val="43AF45F9"/>
    <w:rsid w:val="45173F49"/>
    <w:rsid w:val="4A003B65"/>
    <w:rsid w:val="4A112CE4"/>
    <w:rsid w:val="4AB65BAF"/>
    <w:rsid w:val="4B891A18"/>
    <w:rsid w:val="4E9054EE"/>
    <w:rsid w:val="4F983342"/>
    <w:rsid w:val="52D06370"/>
    <w:rsid w:val="53BA1B96"/>
    <w:rsid w:val="54FA17DD"/>
    <w:rsid w:val="56B50DEE"/>
    <w:rsid w:val="599E14EB"/>
    <w:rsid w:val="5A8C2866"/>
    <w:rsid w:val="5AAE53A6"/>
    <w:rsid w:val="5B7637EE"/>
    <w:rsid w:val="61AE6F66"/>
    <w:rsid w:val="661F2960"/>
    <w:rsid w:val="66AD0023"/>
    <w:rsid w:val="66AE1A3B"/>
    <w:rsid w:val="681D5EF9"/>
    <w:rsid w:val="6A313CB8"/>
    <w:rsid w:val="6BCD7E4E"/>
    <w:rsid w:val="727E410F"/>
    <w:rsid w:val="73986993"/>
    <w:rsid w:val="7B581113"/>
    <w:rsid w:val="7B9F122A"/>
    <w:rsid w:val="7BD16D7F"/>
    <w:rsid w:val="7F6A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customStyle="1" w:styleId="5">
    <w:name w:val="正文文本1"/>
    <w:basedOn w:val="1"/>
    <w:qFormat/>
    <w:uiPriority w:val="0"/>
    <w:pPr>
      <w:widowControl w:val="0"/>
      <w:shd w:val="clear" w:color="auto" w:fill="FFFFFF"/>
      <w:spacing w:line="0" w:lineRule="exact"/>
      <w:ind w:hanging="120"/>
      <w:jc w:val="right"/>
    </w:pPr>
    <w:rPr>
      <w:rFonts w:ascii="MingLiU" w:hAnsi="MingLiU" w:eastAsia="MingLiU" w:cs="MingLiU"/>
      <w:sz w:val="13"/>
      <w:szCs w:val="1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803</Words>
  <Characters>810</Characters>
  <Lines>0</Lines>
  <Paragraphs>0</Paragraphs>
  <TotalTime>120</TotalTime>
  <ScaleCrop>false</ScaleCrop>
  <LinksUpToDate>false</LinksUpToDate>
  <CharactersWithSpaces>871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打板中心</dc:creator>
  <cp:lastModifiedBy>谢庆芳</cp:lastModifiedBy>
  <cp:lastPrinted>2022-08-23T01:11:52Z</cp:lastPrinted>
  <dcterms:modified xsi:type="dcterms:W3CDTF">2022-08-23T06:21:15Z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A8C63A127DFD4082A057F5787C262EF2</vt:lpwstr>
  </property>
</Properties>
</file>