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附件2</w:t>
      </w:r>
    </w:p>
    <w:p>
      <w:pPr>
        <w:pStyle w:val="4"/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维修企业管理目标月度考核评分表</w:t>
      </w:r>
    </w:p>
    <w:p>
      <w:pPr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 xml:space="preserve"> 考评单位盖章：                           考评日期：      年   月   日</w:t>
      </w:r>
    </w:p>
    <w:tbl>
      <w:tblPr>
        <w:tblStyle w:val="2"/>
        <w:tblW w:w="86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5980"/>
        <w:gridCol w:w="988"/>
        <w:gridCol w:w="1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评分标准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考核扣分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扣分说明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乙方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未按规定建立车辆维修档案（一车一档）。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每发现一宗扣2分。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乙方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未落实车辆完工后的使用情况回访制度（车辆使用单位）。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每发现一宗扣2分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乙方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未落实车辆送修、出厂接车验收签名登记和车辆完工后车辆清洗制度。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每发现一宗扣2分。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乙方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未按规定落实先报修审批，后维修的修车制度。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每发现一宗扣2分。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乙方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有如下情形：1、提供虚假信息，误导或欺骗车辆送修单位；2、对送修车辆的配件、备件、耗材不能提供有效的进货发票、凭证；3、用非原厂配件或旧件代替正厂配件以谋取非法利益。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每发现一宗扣10分。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乙方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为提高公务车维修费用，向送修单位或有关人员提供“好处”,相互串通重复报修或虚假报修。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每发现一宗扣15分。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乙方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未经车辆送修单位同意擅自将车辆转厂（非指定维修厂）维修。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每发现一宗扣15分。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乙方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未按规定执行机动车维修质量的保证制度，维修技术达不到要求，完工后的车辆存在返工现象。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每发现一宗扣10分。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乙方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故意夸大公务车辆故障、增加维修项目，提高维修费用。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每发现一宗扣10分。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乙方对更换下来的旧配件信息标注不清楚、缺失的。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每发现一宗扣2分。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4" w:firstLineChars="177"/>
        <w:textAlignment w:val="auto"/>
        <w:rPr>
          <w:rFonts w:ascii="宋体" w:hAnsi="宋体" w:cs="宋体"/>
          <w:color w:val="000000"/>
          <w:sz w:val="24"/>
          <w:szCs w:val="24"/>
        </w:rPr>
      </w:pPr>
      <w:bookmarkStart w:id="0" w:name="_GoBack"/>
      <w:r>
        <w:rPr>
          <w:rFonts w:hint="eastAsia" w:ascii="宋体" w:hAnsi="宋体" w:cs="宋体"/>
          <w:color w:val="000000"/>
          <w:sz w:val="24"/>
          <w:szCs w:val="24"/>
        </w:rPr>
        <w:t>说明： 该表总分100分，由甲方考评填报，于每月10日前报甲方主管部门汇总，具体考评情况如下：                                                                                                                                                    （1）当月总评大于或等于90分的，甲方主管部门将月度考评总表（加盖公章，下同）交乙方确认，并按照当月维修费用的100％支付。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（2）当月总评大于或等于70分但小于90分的，甲方主管部门将当月考评情况（含扣分证据资料）提交甲方项目监管工作小组审核，根据审核结果制作月度考评总表交乙方确认，并按照当月维修费用的80％支付。</w:t>
      </w:r>
      <w:r>
        <w:rPr>
          <w:rFonts w:hint="eastAsia" w:ascii="宋体" w:hAnsi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cs="宋体"/>
          <w:color w:val="000000"/>
          <w:sz w:val="24"/>
          <w:szCs w:val="24"/>
        </w:rPr>
        <w:t xml:space="preserve"> （3）当月总评小于70分的，由甲方向乙方发出整改通知书，同时抄送给甲方主管部门，甲方主管部门将当月考评情况（含扣分证据资料）提交甲方项目监管工作小组审核，根据审核结果制作月度考评总表交乙方确认，并按照当月维修费用的50％支付。此外，甲方项目监管工作小组就是否终止乙方服务资格进行研究，并提出处理意见报甲方单位审定。</w:t>
      </w:r>
    </w:p>
    <w:bookmarkEnd w:id="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6468E"/>
    <w:rsid w:val="209D4D0F"/>
    <w:rsid w:val="44C150B2"/>
    <w:rsid w:val="54131E75"/>
    <w:rsid w:val="6FF8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1_1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黄立志</cp:lastModifiedBy>
  <dcterms:modified xsi:type="dcterms:W3CDTF">2023-04-04T02:20:49Z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FAE25ACB4BEE42F1AD52F08D4EFF5559</vt:lpwstr>
  </property>
</Properties>
</file>